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78" w:rsidRDefault="001E6A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043FC" wp14:editId="425D173A">
                <wp:simplePos x="0" y="0"/>
                <wp:positionH relativeFrom="column">
                  <wp:posOffset>161365</wp:posOffset>
                </wp:positionH>
                <wp:positionV relativeFrom="page">
                  <wp:posOffset>551329</wp:posOffset>
                </wp:positionV>
                <wp:extent cx="6602506" cy="100853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506" cy="1008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1BD" w:rsidRPr="00493F0B" w:rsidRDefault="004C21BD" w:rsidP="00493F0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CREC TEAM Mentors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pt;margin-top:43.4pt;width:519.9pt;height: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" filled="f" stroked="f">
                <v:textbox>
                  <w:txbxContent>
                    <w:p w:rsidR="004C21BD" w:rsidRPr="00493F0B" w:rsidRDefault="004C21BD" w:rsidP="00493F0B">
                      <w:pPr>
                        <w:spacing w:after="0" w:line="240" w:lineRule="auto"/>
                        <w:rPr>
                          <w:rFonts w:ascii="Century Gothic" w:hAnsi="Century Gothic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56"/>
                        </w:rPr>
                        <w:t>CREC TEAM Mentors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93F0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6876288" cy="1719072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288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D78" w:rsidRDefault="001C0D78"/>
    <w:p w:rsidR="00040E42" w:rsidRDefault="00040E42"/>
    <w:p w:rsidR="00493F0B" w:rsidRDefault="00493F0B"/>
    <w:p w:rsidR="00493F0B" w:rsidRDefault="00493F0B"/>
    <w:p w:rsidR="00493F0B" w:rsidRDefault="00493F0B"/>
    <w:p w:rsidR="00493F0B" w:rsidRPr="00541DBD" w:rsidRDefault="00EB33CF" w:rsidP="00493F0B">
      <w:pPr>
        <w:spacing w:after="0"/>
        <w:rPr>
          <w:rFonts w:ascii="Century Gothic" w:hAnsi="Century Gothic"/>
          <w:b/>
          <w:sz w:val="36"/>
          <w:szCs w:val="36"/>
        </w:rPr>
      </w:pPr>
      <w:r w:rsidRPr="00541DBD">
        <w:rPr>
          <w:rFonts w:ascii="Century Gothic" w:hAnsi="Century Gothic"/>
          <w:b/>
          <w:sz w:val="36"/>
          <w:szCs w:val="36"/>
        </w:rPr>
        <w:t>Mentor Qualifications</w:t>
      </w:r>
    </w:p>
    <w:p w:rsidR="004C21BD" w:rsidRPr="00541DBD" w:rsidRDefault="004C21BD" w:rsidP="004C21B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541DBD">
        <w:rPr>
          <w:rFonts w:ascii="Century Gothic" w:hAnsi="Century Gothic"/>
          <w:sz w:val="24"/>
          <w:szCs w:val="24"/>
        </w:rPr>
        <w:t xml:space="preserve">Possession of a professional or provisional educator certificate </w:t>
      </w:r>
    </w:p>
    <w:p w:rsidR="004C21BD" w:rsidRPr="00541DBD" w:rsidRDefault="004C21BD" w:rsidP="004C21B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541DBD">
        <w:rPr>
          <w:rFonts w:ascii="Century Gothic" w:hAnsi="Century Gothic"/>
          <w:sz w:val="24"/>
          <w:szCs w:val="24"/>
        </w:rPr>
        <w:t>Minimum of three years of teaching experience, including at least one</w:t>
      </w:r>
    </w:p>
    <w:p w:rsidR="004C21BD" w:rsidRPr="00541DBD" w:rsidRDefault="004C21BD" w:rsidP="004C21BD">
      <w:pPr>
        <w:pStyle w:val="ListParagraph"/>
        <w:spacing w:after="0"/>
        <w:rPr>
          <w:rFonts w:ascii="Century Gothic" w:hAnsi="Century Gothic"/>
          <w:sz w:val="24"/>
          <w:szCs w:val="24"/>
        </w:rPr>
      </w:pPr>
      <w:proofErr w:type="gramStart"/>
      <w:r w:rsidRPr="00541DBD">
        <w:rPr>
          <w:rFonts w:ascii="Century Gothic" w:hAnsi="Century Gothic"/>
          <w:sz w:val="24"/>
          <w:szCs w:val="24"/>
        </w:rPr>
        <w:t>year</w:t>
      </w:r>
      <w:proofErr w:type="gramEnd"/>
      <w:r w:rsidRPr="00541DBD">
        <w:rPr>
          <w:rFonts w:ascii="Century Gothic" w:hAnsi="Century Gothic"/>
          <w:sz w:val="24"/>
          <w:szCs w:val="24"/>
        </w:rPr>
        <w:t xml:space="preserve"> of experience at CREC</w:t>
      </w:r>
    </w:p>
    <w:p w:rsidR="00EB33CF" w:rsidRPr="00541DBD" w:rsidRDefault="00EB33CF" w:rsidP="00EB33C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541DBD">
        <w:rPr>
          <w:rFonts w:ascii="Century Gothic" w:hAnsi="Century Gothic"/>
          <w:sz w:val="24"/>
          <w:szCs w:val="24"/>
        </w:rPr>
        <w:t>Current or retired classroom teacher with a minimum of three years successful teaching experience.</w:t>
      </w:r>
    </w:p>
    <w:p w:rsidR="00EB33CF" w:rsidRPr="00541DBD" w:rsidRDefault="00EB33CF" w:rsidP="00EB33C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541DBD">
        <w:rPr>
          <w:rFonts w:ascii="Century Gothic" w:hAnsi="Century Gothic"/>
          <w:sz w:val="24"/>
          <w:szCs w:val="24"/>
        </w:rPr>
        <w:t>Effective classroom teaching experience reflecting best practices.</w:t>
      </w:r>
    </w:p>
    <w:p w:rsidR="00EB33CF" w:rsidRPr="00541DBD" w:rsidRDefault="00EB33CF" w:rsidP="00EB33C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541DBD">
        <w:rPr>
          <w:rFonts w:ascii="Century Gothic" w:hAnsi="Century Gothic"/>
          <w:sz w:val="24"/>
          <w:szCs w:val="24"/>
        </w:rPr>
        <w:t>Outstanding professional role model demonstrating high standards of professionalism and a commitment to own professional growth and ongoing learning.</w:t>
      </w:r>
    </w:p>
    <w:p w:rsidR="00EB33CF" w:rsidRPr="00541DBD" w:rsidRDefault="00EB33CF" w:rsidP="00EB33C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541DBD">
        <w:rPr>
          <w:rFonts w:ascii="Century Gothic" w:hAnsi="Century Gothic"/>
          <w:sz w:val="24"/>
          <w:szCs w:val="24"/>
        </w:rPr>
        <w:t>Effective communicator with outstanding interpersonal skills.</w:t>
      </w:r>
    </w:p>
    <w:p w:rsidR="00EB33CF" w:rsidRPr="00541DBD" w:rsidRDefault="00EB33CF" w:rsidP="00EB33C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541DBD">
        <w:rPr>
          <w:rFonts w:ascii="Century Gothic" w:hAnsi="Century Gothic"/>
          <w:sz w:val="24"/>
          <w:szCs w:val="24"/>
        </w:rPr>
        <w:t>Knowledgeable of beginning teacher development and adult learners.</w:t>
      </w:r>
    </w:p>
    <w:p w:rsidR="00EB33CF" w:rsidRPr="00541DBD" w:rsidRDefault="00EB33CF" w:rsidP="00EB33C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541DBD">
        <w:rPr>
          <w:rFonts w:ascii="Century Gothic" w:hAnsi="Century Gothic"/>
          <w:sz w:val="24"/>
          <w:szCs w:val="24"/>
        </w:rPr>
        <w:t>Demonstrated ability to engage in reflective conversations with beginning teachers about effective practice.</w:t>
      </w:r>
    </w:p>
    <w:p w:rsidR="00EB33CF" w:rsidRPr="00541DBD" w:rsidRDefault="00EB33CF" w:rsidP="00EB33C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541DBD">
        <w:rPr>
          <w:rFonts w:ascii="Century Gothic" w:hAnsi="Century Gothic"/>
          <w:sz w:val="24"/>
          <w:szCs w:val="24"/>
        </w:rPr>
        <w:t>Demonstrated ability to work collaboratively and share instructional ideas and materials with colleagues.</w:t>
      </w:r>
    </w:p>
    <w:p w:rsidR="00EB33CF" w:rsidRPr="00541DBD" w:rsidRDefault="00EB33CF" w:rsidP="00EB33C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541DBD">
        <w:rPr>
          <w:rFonts w:ascii="Century Gothic" w:hAnsi="Century Gothic"/>
          <w:sz w:val="24"/>
          <w:szCs w:val="24"/>
        </w:rPr>
        <w:t>Highly committed to the task of helping beginning teachers to improve their performance and find success and gratification in their new work.</w:t>
      </w:r>
    </w:p>
    <w:p w:rsidR="00EB33CF" w:rsidRPr="00541DBD" w:rsidRDefault="00EB33CF" w:rsidP="00493F0B">
      <w:pPr>
        <w:spacing w:before="240" w:after="0" w:line="240" w:lineRule="auto"/>
        <w:rPr>
          <w:rFonts w:ascii="Century Gothic" w:hAnsi="Century Gothic"/>
          <w:b/>
          <w:sz w:val="36"/>
          <w:szCs w:val="36"/>
        </w:rPr>
      </w:pPr>
    </w:p>
    <w:p w:rsidR="00493F0B" w:rsidRPr="00541DBD" w:rsidRDefault="00EB33CF" w:rsidP="00493F0B">
      <w:pPr>
        <w:spacing w:before="240" w:after="0" w:line="240" w:lineRule="auto"/>
        <w:rPr>
          <w:rFonts w:ascii="Century Gothic" w:hAnsi="Century Gothic"/>
          <w:b/>
          <w:sz w:val="36"/>
          <w:szCs w:val="36"/>
        </w:rPr>
      </w:pPr>
      <w:r w:rsidRPr="00541DBD">
        <w:rPr>
          <w:rFonts w:ascii="Century Gothic" w:hAnsi="Century Gothic"/>
          <w:b/>
          <w:sz w:val="36"/>
          <w:szCs w:val="36"/>
        </w:rPr>
        <w:t>Statement of Understanding and Application Link</w:t>
      </w:r>
    </w:p>
    <w:p w:rsidR="00EB33CF" w:rsidRPr="00541DBD" w:rsidRDefault="00EB33CF" w:rsidP="004C21BD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541DBD">
        <w:rPr>
          <w:rFonts w:ascii="Century Gothic" w:hAnsi="Century Gothic"/>
          <w:sz w:val="24"/>
          <w:szCs w:val="24"/>
        </w:rPr>
        <w:t xml:space="preserve">CREC mentors play an important role in the induction of our beginning teachers.  </w:t>
      </w:r>
      <w:r w:rsidR="00F86C4B" w:rsidRPr="00541DBD">
        <w:rPr>
          <w:rFonts w:ascii="Century Gothic" w:hAnsi="Century Gothic"/>
          <w:sz w:val="24"/>
          <w:szCs w:val="24"/>
        </w:rPr>
        <w:t>CREC mentors are expected to share their knowledge and skills with the next generation of teachers.  CREC mentors are assigned to a new teacher by the school administrator.  Accepting this placement means that you are acknowledging your commitment to fulfill the professional responsibilities for which you have been trained. (</w:t>
      </w:r>
      <w:r w:rsidR="001D0682" w:rsidRPr="00541DBD">
        <w:rPr>
          <w:rFonts w:ascii="Century Gothic" w:hAnsi="Century Gothic"/>
          <w:sz w:val="24"/>
          <w:szCs w:val="24"/>
        </w:rPr>
        <w:t xml:space="preserve">Three days of </w:t>
      </w:r>
      <w:r w:rsidR="00F86C4B" w:rsidRPr="00541DBD">
        <w:rPr>
          <w:rFonts w:ascii="Century Gothic" w:hAnsi="Century Gothic"/>
          <w:sz w:val="24"/>
          <w:szCs w:val="24"/>
        </w:rPr>
        <w:t>Initial Support Training and Mentor updates every three years)</w:t>
      </w:r>
      <w:r w:rsidR="004C21BD" w:rsidRPr="00541DBD">
        <w:rPr>
          <w:rFonts w:ascii="Century Gothic" w:hAnsi="Century Gothic"/>
          <w:sz w:val="24"/>
          <w:szCs w:val="24"/>
        </w:rPr>
        <w:t>.  Each mentor may be assigned two beginning teachers, but no more than</w:t>
      </w:r>
      <w:r w:rsidR="00D44BCF" w:rsidRPr="00541DBD">
        <w:rPr>
          <w:rFonts w:ascii="Century Gothic" w:hAnsi="Century Gothic"/>
          <w:sz w:val="24"/>
          <w:szCs w:val="24"/>
        </w:rPr>
        <w:t xml:space="preserve"> </w:t>
      </w:r>
      <w:r w:rsidR="004C21BD" w:rsidRPr="00541DBD">
        <w:rPr>
          <w:rFonts w:ascii="Century Gothic" w:hAnsi="Century Gothic"/>
          <w:sz w:val="24"/>
          <w:szCs w:val="24"/>
        </w:rPr>
        <w:t>three beginning teachers (except in certain approved circumstances).</w:t>
      </w:r>
      <w:r w:rsidR="004C21BD" w:rsidRPr="00541DBD">
        <w:rPr>
          <w:rFonts w:ascii="Century Gothic" w:hAnsi="Century Gothic"/>
          <w:sz w:val="24"/>
          <w:szCs w:val="24"/>
        </w:rPr>
        <w:cr/>
      </w:r>
    </w:p>
    <w:p w:rsidR="001D0682" w:rsidRPr="00541DBD" w:rsidRDefault="001D0682" w:rsidP="00493F0B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</w:p>
    <w:p w:rsidR="00493F0B" w:rsidRPr="00541DBD" w:rsidRDefault="00493F0B" w:rsidP="000E12D8">
      <w:pPr>
        <w:pStyle w:val="NormalWeb"/>
        <w:spacing w:before="120" w:beforeAutospacing="0" w:after="0" w:afterAutospacing="0" w:line="280" w:lineRule="exact"/>
        <w:ind w:right="270"/>
        <w:rPr>
          <w:rFonts w:ascii="Century Gothic" w:hAnsi="Century Gothic"/>
        </w:rPr>
      </w:pPr>
    </w:p>
    <w:p w:rsidR="000E12D8" w:rsidRPr="00541DBD" w:rsidRDefault="000E12D8" w:rsidP="000E12D8">
      <w:pPr>
        <w:pStyle w:val="NormalWeb"/>
        <w:spacing w:before="120" w:beforeAutospacing="0" w:after="0" w:afterAutospacing="0" w:line="280" w:lineRule="exact"/>
        <w:ind w:right="270"/>
        <w:rPr>
          <w:rFonts w:ascii="Century Gothic" w:hAnsi="Century Gothic"/>
        </w:rPr>
      </w:pPr>
    </w:p>
    <w:p w:rsidR="000E12D8" w:rsidRPr="00541DBD" w:rsidRDefault="001D0682" w:rsidP="000E12D8">
      <w:pPr>
        <w:spacing w:after="0"/>
        <w:rPr>
          <w:rFonts w:ascii="Century Gothic" w:hAnsi="Century Gothic"/>
          <w:b/>
          <w:sz w:val="36"/>
          <w:szCs w:val="36"/>
        </w:rPr>
      </w:pPr>
      <w:r w:rsidRPr="00541DBD">
        <w:rPr>
          <w:rFonts w:ascii="Century Gothic" w:hAnsi="Century Gothic"/>
          <w:b/>
          <w:sz w:val="36"/>
          <w:szCs w:val="36"/>
        </w:rPr>
        <w:t>Professional Responsibilities of CREC Mentors</w:t>
      </w:r>
    </w:p>
    <w:p w:rsidR="001D0682" w:rsidRPr="00541DBD" w:rsidRDefault="0096325A" w:rsidP="001D068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provide approximately 32</w:t>
      </w:r>
      <w:r w:rsidR="001D0682" w:rsidRPr="00541DBD">
        <w:rPr>
          <w:rFonts w:ascii="Century Gothic" w:hAnsi="Century Gothic"/>
          <w:sz w:val="24"/>
          <w:szCs w:val="24"/>
        </w:rPr>
        <w:t xml:space="preserve"> hours of support to each beginning teacher over the course of two years</w:t>
      </w:r>
      <w:r>
        <w:rPr>
          <w:rFonts w:ascii="Century Gothic" w:hAnsi="Century Gothic"/>
          <w:sz w:val="24"/>
          <w:szCs w:val="24"/>
        </w:rPr>
        <w:t xml:space="preserve">.  Meet the expectation of 16 </w:t>
      </w:r>
      <w:r w:rsidR="001D0682" w:rsidRPr="00541DBD">
        <w:rPr>
          <w:rFonts w:ascii="Century Gothic" w:hAnsi="Century Gothic"/>
          <w:sz w:val="24"/>
          <w:szCs w:val="24"/>
        </w:rPr>
        <w:t>hours</w:t>
      </w:r>
      <w:r>
        <w:rPr>
          <w:rFonts w:ascii="Century Gothic" w:hAnsi="Century Gothic"/>
          <w:sz w:val="24"/>
          <w:szCs w:val="24"/>
        </w:rPr>
        <w:t xml:space="preserve"> per year per beginning teacher to receive full payment and 8 hours to receive half payment.</w:t>
      </w:r>
    </w:p>
    <w:p w:rsidR="001D0682" w:rsidRPr="00541DBD" w:rsidRDefault="001D0682" w:rsidP="001D068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541DBD">
        <w:rPr>
          <w:rFonts w:ascii="Century Gothic" w:hAnsi="Century Gothic"/>
          <w:sz w:val="24"/>
          <w:szCs w:val="24"/>
        </w:rPr>
        <w:t>To provide instructional support through the following ac</w:t>
      </w:r>
      <w:r w:rsidR="001736BD" w:rsidRPr="00541DBD">
        <w:rPr>
          <w:rFonts w:ascii="Century Gothic" w:hAnsi="Century Gothic"/>
          <w:sz w:val="24"/>
          <w:szCs w:val="24"/>
        </w:rPr>
        <w:t>tivities: observing, discussion</w:t>
      </w:r>
      <w:r w:rsidRPr="00541DBD">
        <w:rPr>
          <w:rFonts w:ascii="Century Gothic" w:hAnsi="Century Gothic"/>
          <w:sz w:val="24"/>
          <w:szCs w:val="24"/>
        </w:rPr>
        <w:t xml:space="preserve">, </w:t>
      </w:r>
      <w:r w:rsidR="001736BD" w:rsidRPr="00541DBD">
        <w:rPr>
          <w:rFonts w:ascii="Century Gothic" w:hAnsi="Century Gothic"/>
          <w:sz w:val="24"/>
          <w:szCs w:val="24"/>
        </w:rPr>
        <w:t xml:space="preserve">collaboration, </w:t>
      </w:r>
      <w:r w:rsidRPr="00541DBD">
        <w:rPr>
          <w:rFonts w:ascii="Century Gothic" w:hAnsi="Century Gothic"/>
          <w:sz w:val="24"/>
          <w:szCs w:val="24"/>
        </w:rPr>
        <w:t>and the analysis of student work.</w:t>
      </w:r>
    </w:p>
    <w:p w:rsidR="001D0682" w:rsidRPr="00541DBD" w:rsidRDefault="001736BD" w:rsidP="001D068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541DBD">
        <w:rPr>
          <w:rFonts w:ascii="Century Gothic" w:hAnsi="Century Gothic"/>
          <w:sz w:val="24"/>
          <w:szCs w:val="24"/>
        </w:rPr>
        <w:t>To assist the beginning teacher in demonstrating effective teaching as defined by the Connecticut Common Core of Teaching.</w:t>
      </w:r>
    </w:p>
    <w:p w:rsidR="001736BD" w:rsidRPr="00541DBD" w:rsidRDefault="001736BD" w:rsidP="001D068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541DBD">
        <w:rPr>
          <w:rFonts w:ascii="Century Gothic" w:hAnsi="Century Gothic"/>
          <w:sz w:val="24"/>
          <w:szCs w:val="24"/>
        </w:rPr>
        <w:t xml:space="preserve">To identify and engage other instructional </w:t>
      </w:r>
      <w:proofErr w:type="gramStart"/>
      <w:r w:rsidRPr="00541DBD">
        <w:rPr>
          <w:rFonts w:ascii="Century Gothic" w:hAnsi="Century Gothic"/>
          <w:sz w:val="24"/>
          <w:szCs w:val="24"/>
        </w:rPr>
        <w:t>staff,</w:t>
      </w:r>
      <w:proofErr w:type="gramEnd"/>
      <w:r w:rsidRPr="00541DBD">
        <w:rPr>
          <w:rFonts w:ascii="Century Gothic" w:hAnsi="Century Gothic"/>
          <w:sz w:val="24"/>
          <w:szCs w:val="24"/>
        </w:rPr>
        <w:t xml:space="preserve"> based on need, to support the beginning teacher with content, management, and instructional strategies.</w:t>
      </w:r>
    </w:p>
    <w:p w:rsidR="001736BD" w:rsidRPr="00541DBD" w:rsidRDefault="001736BD" w:rsidP="001D0682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541DBD">
        <w:rPr>
          <w:rFonts w:ascii="Century Gothic" w:hAnsi="Century Gothic"/>
          <w:sz w:val="24"/>
          <w:szCs w:val="24"/>
        </w:rPr>
        <w:t>To participate in two district wide meetings.</w:t>
      </w:r>
    </w:p>
    <w:p w:rsidR="00A67F43" w:rsidRDefault="00BD79BE" w:rsidP="000E12D8">
      <w:pPr>
        <w:spacing w:before="240" w:after="0" w:line="240" w:lineRule="auto"/>
        <w:rPr>
          <w:rFonts w:ascii="Century Gothic" w:hAnsi="Century Gothic"/>
          <w:b/>
          <w:sz w:val="36"/>
          <w:szCs w:val="36"/>
        </w:rPr>
      </w:pPr>
      <w:r w:rsidRPr="00541DBD">
        <w:rPr>
          <w:rFonts w:ascii="Century Gothic" w:hAnsi="Century Gothic"/>
          <w:b/>
          <w:sz w:val="36"/>
          <w:szCs w:val="36"/>
        </w:rPr>
        <w:t>CREC Mentor Stipends</w:t>
      </w:r>
    </w:p>
    <w:p w:rsidR="00A67F43" w:rsidRPr="00A67F43" w:rsidRDefault="00A67F43" w:rsidP="00A67F43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:rsidR="00A67F43" w:rsidRPr="00A67F43" w:rsidRDefault="00A67F43" w:rsidP="00A67F4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67F43">
        <w:rPr>
          <w:rFonts w:ascii="Century Gothic" w:hAnsi="Century Gothic"/>
          <w:sz w:val="24"/>
          <w:szCs w:val="24"/>
        </w:rPr>
        <w:t>The e</w:t>
      </w:r>
      <w:r w:rsidRPr="00A67F43">
        <w:rPr>
          <w:rFonts w:ascii="Century Gothic" w:hAnsi="Century Gothic"/>
          <w:sz w:val="24"/>
          <w:szCs w:val="24"/>
        </w:rPr>
        <w:t>xpectation is that mentors provide two years of support to each beginning teacher which equals 32 logged hours</w:t>
      </w:r>
      <w:r w:rsidRPr="00A67F43">
        <w:rPr>
          <w:rFonts w:ascii="Century Gothic" w:hAnsi="Century Gothic"/>
          <w:sz w:val="24"/>
          <w:szCs w:val="24"/>
        </w:rPr>
        <w:t>.</w:t>
      </w:r>
    </w:p>
    <w:p w:rsidR="00A67F43" w:rsidRPr="00A67F43" w:rsidRDefault="00A67F43" w:rsidP="00A67F4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67F43">
        <w:rPr>
          <w:rFonts w:ascii="Century Gothic" w:hAnsi="Century Gothic"/>
          <w:sz w:val="24"/>
          <w:szCs w:val="24"/>
        </w:rPr>
        <w:t xml:space="preserve">Each year a mentor must provide 16 logged hours </w:t>
      </w:r>
    </w:p>
    <w:p w:rsidR="00A67F43" w:rsidRPr="00A67F43" w:rsidRDefault="00A67F43" w:rsidP="00A67F43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A67F43">
        <w:rPr>
          <w:rFonts w:ascii="Century Gothic" w:hAnsi="Century Gothic"/>
          <w:sz w:val="24"/>
          <w:szCs w:val="24"/>
        </w:rPr>
        <w:t>of</w:t>
      </w:r>
      <w:proofErr w:type="gramEnd"/>
      <w:r w:rsidRPr="00A67F43">
        <w:rPr>
          <w:rFonts w:ascii="Century Gothic" w:hAnsi="Century Gothic"/>
          <w:sz w:val="24"/>
          <w:szCs w:val="24"/>
        </w:rPr>
        <w:t xml:space="preserve"> support or more for a full payment of $540.00</w:t>
      </w:r>
    </w:p>
    <w:p w:rsidR="00A67F43" w:rsidRPr="00A67F43" w:rsidRDefault="00A67F43" w:rsidP="00A67F4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67F43">
        <w:rPr>
          <w:rFonts w:ascii="Century Gothic" w:hAnsi="Century Gothic"/>
          <w:sz w:val="24"/>
          <w:szCs w:val="24"/>
        </w:rPr>
        <w:t xml:space="preserve">Mentors that log in from 15 to 8 hours of support will </w:t>
      </w:r>
    </w:p>
    <w:p w:rsidR="00A67F43" w:rsidRPr="00A67F43" w:rsidRDefault="00A67F43" w:rsidP="00A67F43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A67F43">
        <w:rPr>
          <w:rFonts w:ascii="Century Gothic" w:hAnsi="Century Gothic"/>
          <w:sz w:val="24"/>
          <w:szCs w:val="24"/>
        </w:rPr>
        <w:t>receive</w:t>
      </w:r>
      <w:proofErr w:type="gramEnd"/>
      <w:r w:rsidRPr="00A67F43">
        <w:rPr>
          <w:rFonts w:ascii="Century Gothic" w:hAnsi="Century Gothic"/>
          <w:sz w:val="24"/>
          <w:szCs w:val="24"/>
        </w:rPr>
        <w:t xml:space="preserve"> a half payment of  $270.00</w:t>
      </w:r>
    </w:p>
    <w:p w:rsidR="00A67F43" w:rsidRPr="00A67F43" w:rsidRDefault="00A67F43" w:rsidP="00A67F4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67F43">
        <w:rPr>
          <w:rFonts w:ascii="Century Gothic" w:hAnsi="Century Gothic"/>
          <w:sz w:val="24"/>
          <w:szCs w:val="24"/>
        </w:rPr>
        <w:t xml:space="preserve">Mentors that log in less than 8 hours of support will not </w:t>
      </w:r>
    </w:p>
    <w:p w:rsidR="00A67F43" w:rsidRPr="00A67F43" w:rsidRDefault="00A67F43" w:rsidP="00A67F43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A67F43">
        <w:rPr>
          <w:rFonts w:ascii="Century Gothic" w:hAnsi="Century Gothic"/>
          <w:sz w:val="24"/>
          <w:szCs w:val="24"/>
        </w:rPr>
        <w:t>receive</w:t>
      </w:r>
      <w:proofErr w:type="gramEnd"/>
      <w:r w:rsidRPr="00A67F43">
        <w:rPr>
          <w:rFonts w:ascii="Century Gothic" w:hAnsi="Century Gothic"/>
          <w:sz w:val="24"/>
          <w:szCs w:val="24"/>
        </w:rPr>
        <w:t xml:space="preserve"> payment</w:t>
      </w:r>
    </w:p>
    <w:p w:rsidR="00A67F43" w:rsidRDefault="00A67F43" w:rsidP="00A67F43">
      <w:pPr>
        <w:pStyle w:val="ListParagraph"/>
        <w:spacing w:after="0" w:line="240" w:lineRule="auto"/>
        <w:rPr>
          <w:rFonts w:ascii="Century Gothic" w:hAnsi="Century Gothic"/>
          <w:sz w:val="28"/>
          <w:szCs w:val="28"/>
        </w:rPr>
      </w:pPr>
    </w:p>
    <w:p w:rsidR="00A67F43" w:rsidRDefault="00A67F43" w:rsidP="00A67F43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Hours must be logged throughout the school year.</w:t>
      </w:r>
    </w:p>
    <w:p w:rsidR="00A67F43" w:rsidRPr="00A67F43" w:rsidRDefault="00A67F43" w:rsidP="00A67F43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67F43" w:rsidRPr="00A67F43" w:rsidRDefault="00A67F43" w:rsidP="00A67F4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67F43">
        <w:rPr>
          <w:rFonts w:ascii="Century Gothic" w:hAnsi="Century Gothic"/>
          <w:sz w:val="24"/>
          <w:szCs w:val="24"/>
        </w:rPr>
        <w:t>SDE allocates the mentor payment to districts by the beginning of April; at that point we need to determine which amount to allocate to each mentor.</w:t>
      </w:r>
    </w:p>
    <w:p w:rsidR="00A67F43" w:rsidRDefault="00A67F43" w:rsidP="00A67F4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67F43">
        <w:rPr>
          <w:rFonts w:ascii="Century Gothic" w:hAnsi="Century Gothic"/>
          <w:sz w:val="24"/>
          <w:szCs w:val="24"/>
        </w:rPr>
        <w:t>To secure the right payment mentors should have logged must of their hours by the end of March.</w:t>
      </w:r>
    </w:p>
    <w:p w:rsidR="00A67F43" w:rsidRPr="00A67F43" w:rsidRDefault="00A67F43" w:rsidP="00A67F43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A67F43" w:rsidRPr="00A67F43" w:rsidRDefault="00A67F43" w:rsidP="00A67F4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67F43">
        <w:rPr>
          <w:rFonts w:ascii="Century Gothic" w:hAnsi="Century Gothic"/>
          <w:b/>
          <w:sz w:val="24"/>
          <w:szCs w:val="24"/>
        </w:rPr>
        <w:t>Mentors who do not meet the obligation of logged in hours will not receive payment.</w:t>
      </w:r>
    </w:p>
    <w:p w:rsidR="000E12D8" w:rsidRPr="00541DBD" w:rsidRDefault="00BD79BE" w:rsidP="000E12D8">
      <w:pPr>
        <w:spacing w:before="240" w:after="0" w:line="240" w:lineRule="auto"/>
        <w:rPr>
          <w:rFonts w:ascii="Century Gothic" w:hAnsi="Century Gothic"/>
          <w:b/>
          <w:sz w:val="36"/>
          <w:szCs w:val="36"/>
        </w:rPr>
      </w:pPr>
      <w:r w:rsidRPr="00541DBD">
        <w:rPr>
          <w:rFonts w:ascii="Century Gothic" w:hAnsi="Century Gothic"/>
          <w:b/>
          <w:sz w:val="36"/>
          <w:szCs w:val="36"/>
        </w:rPr>
        <w:t>Other Mentoring Benefits</w:t>
      </w:r>
    </w:p>
    <w:p w:rsidR="000E12D8" w:rsidRPr="00541DBD" w:rsidRDefault="00BD79BE" w:rsidP="000E12D8">
      <w:pPr>
        <w:pStyle w:val="NormalWeb"/>
        <w:spacing w:before="120" w:beforeAutospacing="0" w:after="0" w:afterAutospacing="0" w:line="280" w:lineRule="exact"/>
        <w:ind w:right="270"/>
        <w:rPr>
          <w:rFonts w:ascii="Century Gothic" w:hAnsi="Century Gothic"/>
        </w:rPr>
      </w:pPr>
      <w:r w:rsidRPr="00541DBD">
        <w:rPr>
          <w:rFonts w:ascii="Century Gothic" w:hAnsi="Century Gothic"/>
        </w:rPr>
        <w:t>The framework for TEAM is embedded in Connecticut’s Common Core of Teaching which provides the opportunity to turn a standards document into a working document through an examination of teacher practice across a continuum.  By lending their experience and expertise, mentors can assist in bringing beginning teachers along the continuum at a quicker pace than would be accomplished in isolation. In turn, many mentors report that they and their students have also benefited.  TEAM is a collaborative endeavor focused on student achievement that brings together beginnin</w:t>
      </w:r>
      <w:r w:rsidR="00A67F43">
        <w:rPr>
          <w:rFonts w:ascii="Century Gothic" w:hAnsi="Century Gothic"/>
        </w:rPr>
        <w:t>g teachers and trained mentors.</w:t>
      </w:r>
    </w:p>
    <w:sectPr w:rsidR="000E12D8" w:rsidRPr="00541DBD" w:rsidSect="001C0D7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BD" w:rsidRDefault="004C21BD" w:rsidP="001C0D78">
      <w:pPr>
        <w:spacing w:after="0" w:line="240" w:lineRule="auto"/>
      </w:pPr>
      <w:r>
        <w:separator/>
      </w:r>
    </w:p>
  </w:endnote>
  <w:endnote w:type="continuationSeparator" w:id="0">
    <w:p w:rsidR="004C21BD" w:rsidRDefault="004C21BD" w:rsidP="001C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BD" w:rsidRPr="001C0D78" w:rsidRDefault="004C21BD" w:rsidP="001C0D78">
    <w:pPr>
      <w:pStyle w:val="Footer"/>
      <w:tabs>
        <w:tab w:val="clear" w:pos="4680"/>
        <w:tab w:val="clear" w:pos="9360"/>
        <w:tab w:val="right" w:pos="10530"/>
      </w:tabs>
      <w:rPr>
        <w:rFonts w:ascii="Century Gothic" w:hAnsi="Century Gothic"/>
        <w:sz w:val="20"/>
        <w:szCs w:val="20"/>
      </w:rPr>
    </w:pPr>
    <w:r w:rsidRPr="001C0D78">
      <w:rPr>
        <w:rFonts w:ascii="Century Gothic" w:hAnsi="Century Gothic"/>
        <w:sz w:val="20"/>
        <w:szCs w:val="20"/>
      </w:rPr>
      <w:t>Name of School</w:t>
    </w:r>
    <w:r w:rsidRPr="001C0D78">
      <w:rPr>
        <w:rFonts w:ascii="Century Gothic" w:hAnsi="Century Gothic"/>
        <w:sz w:val="20"/>
        <w:szCs w:val="20"/>
      </w:rPr>
      <w:tab/>
      <w:t>Publication 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BD" w:rsidRDefault="004C21BD" w:rsidP="001C0D78">
      <w:pPr>
        <w:spacing w:after="0" w:line="240" w:lineRule="auto"/>
      </w:pPr>
      <w:r>
        <w:separator/>
      </w:r>
    </w:p>
  </w:footnote>
  <w:footnote w:type="continuationSeparator" w:id="0">
    <w:p w:rsidR="004C21BD" w:rsidRDefault="004C21BD" w:rsidP="001C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50B"/>
    <w:multiLevelType w:val="hybridMultilevel"/>
    <w:tmpl w:val="A734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A6DBA"/>
    <w:multiLevelType w:val="hybridMultilevel"/>
    <w:tmpl w:val="4EA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C57F3"/>
    <w:multiLevelType w:val="hybridMultilevel"/>
    <w:tmpl w:val="0BB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66"/>
    <w:rsid w:val="00040E42"/>
    <w:rsid w:val="000E12D8"/>
    <w:rsid w:val="001736BD"/>
    <w:rsid w:val="001C0D78"/>
    <w:rsid w:val="001D0682"/>
    <w:rsid w:val="001E6ADA"/>
    <w:rsid w:val="003942CB"/>
    <w:rsid w:val="00493F0B"/>
    <w:rsid w:val="004C21BD"/>
    <w:rsid w:val="004D0EE5"/>
    <w:rsid w:val="00541DBD"/>
    <w:rsid w:val="0096325A"/>
    <w:rsid w:val="00A67F43"/>
    <w:rsid w:val="00B74E66"/>
    <w:rsid w:val="00BD79BE"/>
    <w:rsid w:val="00D44BCF"/>
    <w:rsid w:val="00EB33CF"/>
    <w:rsid w:val="00F8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78"/>
  </w:style>
  <w:style w:type="paragraph" w:styleId="Footer">
    <w:name w:val="footer"/>
    <w:basedOn w:val="Normal"/>
    <w:link w:val="FooterChar"/>
    <w:uiPriority w:val="99"/>
    <w:unhideWhenUsed/>
    <w:rsid w:val="001C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78"/>
  </w:style>
  <w:style w:type="paragraph" w:styleId="NormalWeb">
    <w:name w:val="Normal (Web)"/>
    <w:basedOn w:val="Normal"/>
    <w:rsid w:val="0049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78"/>
  </w:style>
  <w:style w:type="paragraph" w:styleId="Footer">
    <w:name w:val="footer"/>
    <w:basedOn w:val="Normal"/>
    <w:link w:val="FooterChar"/>
    <w:uiPriority w:val="99"/>
    <w:unhideWhenUsed/>
    <w:rsid w:val="001C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78"/>
  </w:style>
  <w:style w:type="paragraph" w:styleId="NormalWeb">
    <w:name w:val="Normal (Web)"/>
    <w:basedOn w:val="Normal"/>
    <w:rsid w:val="0049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uto\Downloads\Magnet_School_Newsletter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Magnet_School_Newsletter (2)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Diez, Marta</dc:creator>
  <cp:lastModifiedBy>Suto, Meredith</cp:lastModifiedBy>
  <cp:revision>2</cp:revision>
  <cp:lastPrinted>2015-07-06T17:32:00Z</cp:lastPrinted>
  <dcterms:created xsi:type="dcterms:W3CDTF">2015-11-04T18:38:00Z</dcterms:created>
  <dcterms:modified xsi:type="dcterms:W3CDTF">2015-11-04T18:38:00Z</dcterms:modified>
</cp:coreProperties>
</file>