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6" w:type="dxa"/>
        <w:tblInd w:w="-106" w:type="dxa"/>
        <w:tblLook w:val="00A0" w:firstRow="1" w:lastRow="0" w:firstColumn="1" w:lastColumn="0" w:noHBand="0" w:noVBand="0"/>
      </w:tblPr>
      <w:tblGrid>
        <w:gridCol w:w="5508"/>
        <w:gridCol w:w="5508"/>
      </w:tblGrid>
      <w:tr w:rsidR="000211B4" w:rsidRPr="002B19C8">
        <w:trPr>
          <w:trHeight w:val="891"/>
        </w:trPr>
        <w:tc>
          <w:tcPr>
            <w:tcW w:w="11016" w:type="dxa"/>
            <w:gridSpan w:val="2"/>
          </w:tcPr>
          <w:p w:rsidR="000211B4" w:rsidRPr="002B19C8" w:rsidRDefault="00292668" w:rsidP="002B19C8">
            <w:pPr>
              <w:pStyle w:val="BasicParagraph"/>
              <w:pBdr>
                <w:bottom w:val="single" w:sz="4" w:space="1" w:color="auto"/>
              </w:pBdr>
              <w:tabs>
                <w:tab w:val="left" w:pos="0"/>
                <w:tab w:val="left" w:pos="3861"/>
                <w:tab w:val="left" w:pos="4860"/>
              </w:tabs>
              <w:suppressAutoHyphens/>
              <w:spacing w:line="240" w:lineRule="auto"/>
              <w:rPr>
                <w:rFonts w:ascii="Century Gothic" w:hAnsi="Century Gothic" w:cs="Century Gothic"/>
                <w:color w:val="00675D"/>
                <w:sz w:val="28"/>
                <w:szCs w:val="28"/>
              </w:rPr>
            </w:pPr>
            <w:r>
              <w:rPr>
                <w:noProof/>
              </w:rPr>
              <w:drawing>
                <wp:anchor distT="0" distB="0" distL="114300" distR="114300" simplePos="0" relativeHeight="251658240" behindDoc="0" locked="0" layoutInCell="1" allowOverlap="1" wp14:anchorId="2B7A31C8" wp14:editId="09D4856D">
                  <wp:simplePos x="0" y="0"/>
                  <wp:positionH relativeFrom="column">
                    <wp:posOffset>3662045</wp:posOffset>
                  </wp:positionH>
                  <wp:positionV relativeFrom="paragraph">
                    <wp:posOffset>-120650</wp:posOffset>
                  </wp:positionV>
                  <wp:extent cx="3221355" cy="4940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1355" cy="494030"/>
                          </a:xfrm>
                          <a:prstGeom prst="rect">
                            <a:avLst/>
                          </a:prstGeom>
                          <a:noFill/>
                        </pic:spPr>
                      </pic:pic>
                    </a:graphicData>
                  </a:graphic>
                  <wp14:sizeRelH relativeFrom="page">
                    <wp14:pctWidth>0</wp14:pctWidth>
                  </wp14:sizeRelH>
                  <wp14:sizeRelV relativeFrom="page">
                    <wp14:pctHeight>0</wp14:pctHeight>
                  </wp14:sizeRelV>
                </wp:anchor>
              </w:drawing>
            </w:r>
            <w:r w:rsidR="000211B4" w:rsidRPr="002B19C8">
              <w:rPr>
                <w:rFonts w:ascii="Century Gothic" w:hAnsi="Century Gothic" w:cs="Century Gothic"/>
                <w:color w:val="00675D"/>
                <w:sz w:val="48"/>
                <w:szCs w:val="48"/>
              </w:rPr>
              <w:t xml:space="preserve">Press Release </w:t>
            </w:r>
            <w:r w:rsidR="000211B4" w:rsidRPr="002B19C8">
              <w:rPr>
                <w:rFonts w:ascii="Century Gothic" w:hAnsi="Century Gothic" w:cs="Century Gothic"/>
                <w:color w:val="00675D"/>
                <w:sz w:val="28"/>
                <w:szCs w:val="28"/>
              </w:rPr>
              <w:tab/>
            </w:r>
            <w:r w:rsidR="000211B4" w:rsidRPr="002B19C8">
              <w:rPr>
                <w:rFonts w:ascii="Century Gothic" w:hAnsi="Century Gothic" w:cs="Century Gothic"/>
                <w:color w:val="00675D"/>
                <w:sz w:val="28"/>
                <w:szCs w:val="28"/>
              </w:rPr>
              <w:tab/>
            </w:r>
          </w:p>
          <w:p w:rsidR="000211B4" w:rsidRPr="002B19C8" w:rsidRDefault="000211B4" w:rsidP="002B19C8">
            <w:pPr>
              <w:pStyle w:val="NoSpacing"/>
              <w:jc w:val="right"/>
              <w:rPr>
                <w:rFonts w:ascii="Century Gothic" w:hAnsi="Century Gothic" w:cs="Century Gothic"/>
                <w:sz w:val="16"/>
                <w:szCs w:val="16"/>
              </w:rPr>
            </w:pPr>
          </w:p>
        </w:tc>
      </w:tr>
      <w:tr w:rsidR="000211B4" w:rsidRPr="002B19C8" w:rsidTr="00911BE1">
        <w:trPr>
          <w:trHeight w:val="630"/>
        </w:trPr>
        <w:tc>
          <w:tcPr>
            <w:tcW w:w="5508" w:type="dxa"/>
          </w:tcPr>
          <w:p w:rsidR="000211B4" w:rsidRPr="002B19C8" w:rsidRDefault="000211B4" w:rsidP="00E006A1">
            <w:pPr>
              <w:pStyle w:val="NoSpacing"/>
              <w:rPr>
                <w:rFonts w:ascii="Century Gothic" w:hAnsi="Century Gothic" w:cs="Century Gothic"/>
              </w:rPr>
            </w:pPr>
            <w:r w:rsidRPr="002B19C8">
              <w:rPr>
                <w:rFonts w:ascii="Century Gothic" w:hAnsi="Century Gothic" w:cs="Century Gothic"/>
              </w:rPr>
              <w:t>FOR IMMEDIATE RELEASE</w:t>
            </w:r>
          </w:p>
          <w:p w:rsidR="000211B4" w:rsidRPr="002B19C8" w:rsidRDefault="00853CC6" w:rsidP="00CC35C1">
            <w:pPr>
              <w:pStyle w:val="NoSpacing"/>
              <w:rPr>
                <w:rFonts w:ascii="Century Gothic" w:hAnsi="Century Gothic" w:cs="Century Gothic"/>
              </w:rPr>
            </w:pPr>
            <w:r>
              <w:rPr>
                <w:rFonts w:ascii="Century Gothic" w:hAnsi="Century Gothic" w:cs="Century Gothic"/>
              </w:rPr>
              <w:t>April 28</w:t>
            </w:r>
            <w:r w:rsidR="002916BA">
              <w:rPr>
                <w:rFonts w:ascii="Century Gothic" w:hAnsi="Century Gothic" w:cs="Century Gothic"/>
              </w:rPr>
              <w:t>, 2014</w:t>
            </w:r>
          </w:p>
        </w:tc>
        <w:tc>
          <w:tcPr>
            <w:tcW w:w="5508" w:type="dxa"/>
          </w:tcPr>
          <w:p w:rsidR="000211B4" w:rsidRPr="002B19C8" w:rsidRDefault="000211B4" w:rsidP="002B19C8">
            <w:pPr>
              <w:pStyle w:val="NoSpacing"/>
              <w:jc w:val="right"/>
              <w:rPr>
                <w:rFonts w:ascii="Century Gothic" w:hAnsi="Century Gothic" w:cs="Century Gothic"/>
              </w:rPr>
            </w:pPr>
            <w:r w:rsidRPr="002B19C8">
              <w:rPr>
                <w:rFonts w:ascii="Century Gothic" w:hAnsi="Century Gothic" w:cs="Century Gothic"/>
              </w:rPr>
              <w:t>Julia Winer</w:t>
            </w:r>
          </w:p>
          <w:p w:rsidR="000211B4" w:rsidRPr="002B19C8" w:rsidRDefault="000211B4" w:rsidP="002B19C8">
            <w:pPr>
              <w:pStyle w:val="NoSpacing"/>
              <w:jc w:val="right"/>
              <w:rPr>
                <w:rFonts w:ascii="Century Gothic" w:hAnsi="Century Gothic" w:cs="Century Gothic"/>
              </w:rPr>
            </w:pPr>
            <w:r w:rsidRPr="002B19C8">
              <w:rPr>
                <w:rFonts w:ascii="Century Gothic" w:hAnsi="Century Gothic" w:cs="Century Gothic"/>
              </w:rPr>
              <w:t>Assistant Director of Communications</w:t>
            </w:r>
          </w:p>
          <w:p w:rsidR="000211B4" w:rsidRPr="002B19C8" w:rsidRDefault="000211B4" w:rsidP="002B19C8">
            <w:pPr>
              <w:pStyle w:val="NoSpacing"/>
              <w:jc w:val="right"/>
              <w:rPr>
                <w:rFonts w:ascii="Century Gothic" w:hAnsi="Century Gothic" w:cs="Century Gothic"/>
              </w:rPr>
            </w:pPr>
            <w:r w:rsidRPr="002B19C8">
              <w:rPr>
                <w:rFonts w:ascii="Century Gothic" w:hAnsi="Century Gothic" w:cs="Century Gothic"/>
              </w:rPr>
              <w:t>(860) 509-3666</w:t>
            </w:r>
          </w:p>
          <w:p w:rsidR="000211B4" w:rsidRPr="002B19C8" w:rsidRDefault="000211B4" w:rsidP="002B19C8">
            <w:pPr>
              <w:pStyle w:val="NoSpacing"/>
              <w:jc w:val="right"/>
              <w:rPr>
                <w:rFonts w:ascii="Century Gothic" w:hAnsi="Century Gothic" w:cs="Century Gothic"/>
              </w:rPr>
            </w:pPr>
            <w:r w:rsidRPr="002B19C8">
              <w:rPr>
                <w:rFonts w:ascii="Century Gothic" w:hAnsi="Century Gothic" w:cs="Century Gothic"/>
              </w:rPr>
              <w:t>jwiner@crec.org</w:t>
            </w:r>
          </w:p>
        </w:tc>
      </w:tr>
      <w:tr w:rsidR="000211B4" w:rsidRPr="002B19C8" w:rsidTr="00692FDA">
        <w:trPr>
          <w:trHeight w:val="1251"/>
        </w:trPr>
        <w:tc>
          <w:tcPr>
            <w:tcW w:w="11016" w:type="dxa"/>
            <w:gridSpan w:val="2"/>
            <w:vAlign w:val="center"/>
          </w:tcPr>
          <w:p w:rsidR="00894596" w:rsidRDefault="00A5150A" w:rsidP="00C525DC">
            <w:pPr>
              <w:pStyle w:val="NoSpacing"/>
              <w:jc w:val="center"/>
              <w:rPr>
                <w:rFonts w:ascii="Century Gothic" w:hAnsi="Century Gothic" w:cs="Century Gothic"/>
                <w:b/>
                <w:bCs/>
                <w:sz w:val="32"/>
                <w:szCs w:val="32"/>
              </w:rPr>
            </w:pPr>
            <w:r>
              <w:rPr>
                <w:rFonts w:ascii="Century Gothic" w:hAnsi="Century Gothic" w:cs="Century Gothic"/>
                <w:b/>
                <w:bCs/>
                <w:sz w:val="32"/>
                <w:szCs w:val="32"/>
              </w:rPr>
              <w:t>CREC</w:t>
            </w:r>
            <w:r w:rsidR="00C525DC">
              <w:rPr>
                <w:rFonts w:ascii="Century Gothic" w:hAnsi="Century Gothic" w:cs="Century Gothic"/>
                <w:b/>
                <w:bCs/>
                <w:sz w:val="32"/>
                <w:szCs w:val="32"/>
              </w:rPr>
              <w:t xml:space="preserve"> Arts Academy</w:t>
            </w:r>
            <w:r>
              <w:rPr>
                <w:rFonts w:ascii="Century Gothic" w:hAnsi="Century Gothic" w:cs="Century Gothic"/>
                <w:b/>
                <w:bCs/>
                <w:sz w:val="32"/>
                <w:szCs w:val="32"/>
              </w:rPr>
              <w:t xml:space="preserve"> Wins Best Of </w:t>
            </w:r>
            <w:r w:rsidR="00894596">
              <w:rPr>
                <w:rFonts w:ascii="Century Gothic" w:hAnsi="Century Gothic" w:cs="Century Gothic"/>
                <w:b/>
                <w:bCs/>
                <w:sz w:val="32"/>
                <w:szCs w:val="32"/>
              </w:rPr>
              <w:t xml:space="preserve">Hartford </w:t>
            </w:r>
            <w:r>
              <w:rPr>
                <w:rFonts w:ascii="Century Gothic" w:hAnsi="Century Gothic" w:cs="Century Gothic"/>
                <w:b/>
                <w:bCs/>
                <w:sz w:val="32"/>
                <w:szCs w:val="32"/>
              </w:rPr>
              <w:t xml:space="preserve">Award </w:t>
            </w:r>
          </w:p>
          <w:p w:rsidR="00AA374D" w:rsidRPr="002B19C8" w:rsidRDefault="00A5150A" w:rsidP="00C525DC">
            <w:pPr>
              <w:pStyle w:val="NoSpacing"/>
              <w:jc w:val="center"/>
              <w:rPr>
                <w:rFonts w:ascii="Century Gothic" w:hAnsi="Century Gothic" w:cs="Century Gothic"/>
                <w:b/>
                <w:bCs/>
                <w:sz w:val="32"/>
                <w:szCs w:val="32"/>
              </w:rPr>
            </w:pPr>
            <w:r>
              <w:rPr>
                <w:rFonts w:ascii="Century Gothic" w:hAnsi="Century Gothic" w:cs="Century Gothic"/>
                <w:b/>
                <w:bCs/>
                <w:sz w:val="32"/>
                <w:szCs w:val="32"/>
              </w:rPr>
              <w:t>for Second Year in a Row</w:t>
            </w:r>
          </w:p>
        </w:tc>
      </w:tr>
      <w:tr w:rsidR="000211B4" w:rsidRPr="002B19C8" w:rsidTr="000D5276">
        <w:trPr>
          <w:trHeight w:val="2061"/>
        </w:trPr>
        <w:tc>
          <w:tcPr>
            <w:tcW w:w="11016" w:type="dxa"/>
            <w:gridSpan w:val="2"/>
            <w:vAlign w:val="center"/>
          </w:tcPr>
          <w:p w:rsidR="00BB612A" w:rsidRPr="006D3165" w:rsidRDefault="00692FDA" w:rsidP="00894596">
            <w:pPr>
              <w:pStyle w:val="NoSpacing"/>
              <w:rPr>
                <w:rFonts w:ascii="Palatino Linotype" w:hAnsi="Palatino Linotype" w:cstheme="minorHAnsi"/>
                <w:sz w:val="21"/>
                <w:szCs w:val="21"/>
              </w:rPr>
            </w:pPr>
            <w:r w:rsidRPr="006D3165">
              <w:rPr>
                <w:rFonts w:ascii="Palatino Linotype" w:hAnsi="Palatino Linotype" w:cstheme="minorHAnsi"/>
                <w:b/>
                <w:sz w:val="21"/>
                <w:szCs w:val="21"/>
              </w:rPr>
              <w:t>(Hartford, CT)</w:t>
            </w:r>
            <w:r w:rsidRPr="006D3165">
              <w:rPr>
                <w:rFonts w:ascii="Palatino Linotype" w:hAnsi="Palatino Linotype" w:cstheme="minorHAnsi"/>
                <w:sz w:val="21"/>
                <w:szCs w:val="21"/>
              </w:rPr>
              <w:t xml:space="preserve"> </w:t>
            </w:r>
            <w:r w:rsidR="00BB612A" w:rsidRPr="006D3165">
              <w:rPr>
                <w:rFonts w:ascii="Palatino Linotype" w:hAnsi="Palatino Linotype" w:cstheme="minorHAnsi"/>
                <w:sz w:val="21"/>
                <w:szCs w:val="21"/>
              </w:rPr>
              <w:t xml:space="preserve">On </w:t>
            </w:r>
            <w:r w:rsidR="00894596" w:rsidRPr="006D3165">
              <w:rPr>
                <w:rFonts w:ascii="Palatino Linotype" w:hAnsi="Palatino Linotype" w:cstheme="minorHAnsi"/>
                <w:sz w:val="21"/>
                <w:szCs w:val="21"/>
              </w:rPr>
              <w:t>April 24, the CREC Greater Hartford Academy of the Arts was announced as the winner of in the 11th Annual 2014 Best of</w:t>
            </w:r>
            <w:r w:rsidR="00BB612A" w:rsidRPr="006D3165">
              <w:rPr>
                <w:rFonts w:ascii="Palatino Linotype" w:hAnsi="Palatino Linotype" w:cstheme="minorHAnsi"/>
                <w:sz w:val="21"/>
                <w:szCs w:val="21"/>
              </w:rPr>
              <w:t xml:space="preserve"> Hartford Magazine </w:t>
            </w:r>
            <w:proofErr w:type="gramStart"/>
            <w:r w:rsidR="00BB612A" w:rsidRPr="006D3165">
              <w:rPr>
                <w:rFonts w:ascii="Palatino Linotype" w:hAnsi="Palatino Linotype" w:cstheme="minorHAnsi"/>
                <w:sz w:val="21"/>
                <w:szCs w:val="21"/>
              </w:rPr>
              <w:t>readers</w:t>
            </w:r>
            <w:proofErr w:type="gramEnd"/>
            <w:r w:rsidR="00BB612A" w:rsidRPr="006D3165">
              <w:rPr>
                <w:rFonts w:ascii="Palatino Linotype" w:hAnsi="Palatino Linotype" w:cstheme="minorHAnsi"/>
                <w:sz w:val="21"/>
                <w:szCs w:val="21"/>
              </w:rPr>
              <w:t xml:space="preserve"> poll for Best Magnet School. Over the last few months, Hartford Magazine has been asking readers throughout Connecticut to vote for their favorite food, drinks, retailers, service providers, entertainment, and people of Greater Hartford. </w:t>
            </w:r>
          </w:p>
          <w:p w:rsidR="00BB612A" w:rsidRPr="006D3165" w:rsidRDefault="00BB612A" w:rsidP="00894596">
            <w:pPr>
              <w:pStyle w:val="NoSpacing"/>
              <w:rPr>
                <w:rFonts w:ascii="Palatino Linotype" w:hAnsi="Palatino Linotype" w:cstheme="minorHAnsi"/>
                <w:sz w:val="21"/>
                <w:szCs w:val="21"/>
              </w:rPr>
            </w:pPr>
          </w:p>
          <w:p w:rsidR="0082451A" w:rsidRPr="006D3165" w:rsidRDefault="0082451A" w:rsidP="00894596">
            <w:pPr>
              <w:pStyle w:val="NoSpacing"/>
              <w:rPr>
                <w:rFonts w:ascii="Palatino Linotype" w:hAnsi="Palatino Linotype" w:cstheme="minorHAnsi"/>
                <w:sz w:val="21"/>
                <w:szCs w:val="21"/>
              </w:rPr>
            </w:pPr>
            <w:r w:rsidRPr="006D3165">
              <w:rPr>
                <w:rFonts w:ascii="Palatino Linotype" w:hAnsi="Palatino Linotype" w:cstheme="minorHAnsi"/>
                <w:sz w:val="21"/>
                <w:szCs w:val="21"/>
              </w:rPr>
              <w:t>“I’m so pleased that the Academy won this award for the second consecutive year because it shows that the parents and families of our students feel that we are giving them the tools they need to succeed after high school and in their future endeavors,” said Kim Stroud, Director of Arts at the CRE</w:t>
            </w:r>
            <w:bookmarkStart w:id="0" w:name="_GoBack"/>
            <w:bookmarkEnd w:id="0"/>
            <w:r w:rsidRPr="006D3165">
              <w:rPr>
                <w:rFonts w:ascii="Palatino Linotype" w:hAnsi="Palatino Linotype" w:cstheme="minorHAnsi"/>
                <w:sz w:val="21"/>
                <w:szCs w:val="21"/>
              </w:rPr>
              <w:t xml:space="preserve">C Academy of the Arts. “The fact that the parents and families </w:t>
            </w:r>
            <w:r w:rsidR="003909EA" w:rsidRPr="006D3165">
              <w:rPr>
                <w:rFonts w:ascii="Palatino Linotype" w:hAnsi="Palatino Linotype" w:cstheme="minorHAnsi"/>
                <w:sz w:val="21"/>
                <w:szCs w:val="21"/>
              </w:rPr>
              <w:t xml:space="preserve">took the time to vote for the Academy speaks volumes on the excellent job being done by </w:t>
            </w:r>
            <w:r w:rsidR="00B60D27" w:rsidRPr="006D3165">
              <w:rPr>
                <w:rFonts w:ascii="Palatino Linotype" w:hAnsi="Palatino Linotype" w:cstheme="minorHAnsi"/>
                <w:sz w:val="21"/>
                <w:szCs w:val="21"/>
              </w:rPr>
              <w:t>our faculty and staff”</w:t>
            </w:r>
          </w:p>
          <w:p w:rsidR="0082451A" w:rsidRPr="006D3165" w:rsidRDefault="0082451A" w:rsidP="00894596">
            <w:pPr>
              <w:pStyle w:val="NoSpacing"/>
              <w:rPr>
                <w:rFonts w:ascii="Palatino Linotype" w:hAnsi="Palatino Linotype" w:cstheme="minorHAnsi"/>
                <w:sz w:val="21"/>
                <w:szCs w:val="21"/>
              </w:rPr>
            </w:pPr>
          </w:p>
          <w:p w:rsidR="002916BA" w:rsidRPr="006D3165" w:rsidRDefault="007A1B23" w:rsidP="00894596">
            <w:pPr>
              <w:pStyle w:val="NoSpacing"/>
              <w:rPr>
                <w:rFonts w:ascii="Palatino Linotype" w:hAnsi="Palatino Linotype" w:cstheme="minorHAnsi"/>
                <w:sz w:val="21"/>
                <w:szCs w:val="21"/>
              </w:rPr>
            </w:pPr>
            <w:r w:rsidRPr="006D3165">
              <w:rPr>
                <w:rFonts w:ascii="Palatino Linotype" w:hAnsi="Palatino Linotype" w:cstheme="minorHAnsi"/>
                <w:sz w:val="21"/>
                <w:szCs w:val="21"/>
              </w:rPr>
              <w:t xml:space="preserve">The CREC Greater Hartford Academy of the Arts is known for its world-class artistic programing for students in middle and high school grades. </w:t>
            </w:r>
            <w:r w:rsidR="00BB612A" w:rsidRPr="006D3165">
              <w:rPr>
                <w:rFonts w:ascii="Palatino Linotype" w:hAnsi="Palatino Linotype" w:cstheme="minorHAnsi"/>
                <w:sz w:val="21"/>
                <w:szCs w:val="21"/>
              </w:rPr>
              <w:t>Last year, the Academy won the Best Magnet School award for the first time. This year’s awards were officially announced in the May issue of Hartford Magazine, available on newsstands now.</w:t>
            </w:r>
          </w:p>
          <w:p w:rsidR="00456C2C" w:rsidRDefault="00456C2C" w:rsidP="00456C2C">
            <w:pPr>
              <w:pStyle w:val="NoSpacing"/>
              <w:rPr>
                <w:rFonts w:ascii="Palatino Linotype" w:hAnsi="Palatino Linotype"/>
              </w:rPr>
            </w:pPr>
          </w:p>
          <w:p w:rsidR="00911BE1" w:rsidRDefault="00911BE1" w:rsidP="00911BE1">
            <w:pPr>
              <w:pStyle w:val="NoSpacing"/>
              <w:jc w:val="center"/>
              <w:rPr>
                <w:rFonts w:ascii="Palatino Linotype" w:hAnsi="Palatino Linotype"/>
              </w:rPr>
            </w:pPr>
            <w:r>
              <w:rPr>
                <w:rFonts w:ascii="Palatino Linotype" w:hAnsi="Palatino Linotype"/>
              </w:rPr>
              <w:t>###</w:t>
            </w:r>
          </w:p>
          <w:p w:rsidR="00911BE1" w:rsidRDefault="00911BE1" w:rsidP="00911BE1">
            <w:pPr>
              <w:pStyle w:val="NoSpacing"/>
              <w:jc w:val="center"/>
              <w:rPr>
                <w:rFonts w:ascii="Palatino Linotype" w:hAnsi="Palatino Linotype"/>
              </w:rPr>
            </w:pPr>
          </w:p>
          <w:p w:rsidR="0056584F" w:rsidRPr="0056584F" w:rsidRDefault="0056584F" w:rsidP="00692FDA">
            <w:pPr>
              <w:pStyle w:val="NoSpacing"/>
              <w:rPr>
                <w:rFonts w:ascii="Palatino Linotype" w:hAnsi="Palatino Linotype"/>
                <w:i/>
              </w:rPr>
            </w:pPr>
            <w:r w:rsidRPr="0056584F">
              <w:rPr>
                <w:rFonts w:ascii="Palatino Linotype" w:hAnsi="Palatino Linotype"/>
                <w:i/>
              </w:rPr>
              <w:t xml:space="preserve">The </w:t>
            </w:r>
            <w:r w:rsidRPr="0056584F">
              <w:rPr>
                <w:rFonts w:ascii="Palatino Linotype" w:hAnsi="Palatino Linotype"/>
                <w:b/>
                <w:i/>
              </w:rPr>
              <w:t>CREC Greater Hartford Academy of the Arts</w:t>
            </w:r>
            <w:r w:rsidRPr="0056584F">
              <w:rPr>
                <w:rFonts w:ascii="Palatino Linotype" w:hAnsi="Palatino Linotype"/>
                <w:i/>
              </w:rPr>
              <w:t xml:space="preserve"> is an </w:t>
            </w:r>
            <w:proofErr w:type="spellStart"/>
            <w:r w:rsidRPr="0056584F">
              <w:rPr>
                <w:rFonts w:ascii="Palatino Linotype" w:hAnsi="Palatino Linotype"/>
                <w:i/>
              </w:rPr>
              <w:t>interdistrict</w:t>
            </w:r>
            <w:proofErr w:type="spellEnd"/>
            <w:r w:rsidRPr="0056584F">
              <w:rPr>
                <w:rFonts w:ascii="Palatino Linotype" w:hAnsi="Palatino Linotype"/>
                <w:i/>
              </w:rPr>
              <w:t xml:space="preserve"> magnet high school that offers both full-day and half-day programs for students throughout Greater Hartford. For more than 25 years, the Academy has focused on developing the fullest academic and artistic potential in all students, encouraging them to be creative, engaged citizens, and preparing them to pursue careers in the arts. Art classes are offered in creative writing, dance, inter arts, theater, technical theater, music (vocal and instrumental), musical theater</w:t>
            </w:r>
            <w:r w:rsidR="003909EA">
              <w:rPr>
                <w:rFonts w:ascii="Palatino Linotype" w:hAnsi="Palatino Linotype"/>
                <w:i/>
              </w:rPr>
              <w:t>,</w:t>
            </w:r>
            <w:r w:rsidRPr="0056584F">
              <w:rPr>
                <w:rFonts w:ascii="Palatino Linotype" w:hAnsi="Palatino Linotype"/>
                <w:i/>
              </w:rPr>
              <w:t xml:space="preserve"> and visual arts.</w:t>
            </w:r>
          </w:p>
          <w:p w:rsidR="0056584F" w:rsidRDefault="0056584F" w:rsidP="00692FDA">
            <w:pPr>
              <w:pStyle w:val="NoSpacing"/>
              <w:rPr>
                <w:rFonts w:ascii="Palatino Linotype" w:hAnsi="Palatino Linotype"/>
              </w:rPr>
            </w:pPr>
          </w:p>
          <w:p w:rsidR="00692FDA" w:rsidRPr="008C3B47" w:rsidRDefault="00692FDA" w:rsidP="00692FDA">
            <w:pPr>
              <w:spacing w:after="0" w:line="240" w:lineRule="auto"/>
              <w:rPr>
                <w:rFonts w:ascii="Palatino Linotype" w:hAnsi="Palatino Linotype" w:cs="Palatino Linotype"/>
                <w:i/>
                <w:iCs/>
                <w:sz w:val="21"/>
                <w:szCs w:val="21"/>
              </w:rPr>
            </w:pPr>
            <w:r w:rsidRPr="008C3B47">
              <w:rPr>
                <w:rFonts w:ascii="Palatino Linotype" w:hAnsi="Palatino Linotype" w:cs="Palatino Linotype"/>
                <w:i/>
                <w:iCs/>
                <w:sz w:val="21"/>
                <w:szCs w:val="21"/>
              </w:rPr>
              <w:t xml:space="preserve">The </w:t>
            </w:r>
            <w:r w:rsidRPr="008C3B47">
              <w:rPr>
                <w:rFonts w:ascii="Palatino Linotype" w:hAnsi="Palatino Linotype" w:cs="Palatino Linotype"/>
                <w:b/>
                <w:bCs/>
                <w:i/>
                <w:iCs/>
                <w:sz w:val="21"/>
                <w:szCs w:val="21"/>
              </w:rPr>
              <w:t>Capitol Region Education Council</w:t>
            </w:r>
            <w:r w:rsidRPr="008C3B47">
              <w:rPr>
                <w:rFonts w:ascii="Palatino Linotype" w:hAnsi="Palatino Linotype" w:cs="Palatino Linotype"/>
                <w:i/>
                <w:iCs/>
                <w:sz w:val="21"/>
                <w:szCs w:val="21"/>
              </w:rPr>
              <w:t xml:space="preserve"> was established in 1966. Working with and for its member districts, CREC has developed a wide array of cost-effective and high-quality programs and services to meet the educational needs of children and adults in the region. CREC regularly serves 36 towns in Greater Hartford, offering more than 120 programs to more than 150,000 students annually. CREC manages more than 35 facilities throughout the area, including 1</w:t>
            </w:r>
            <w:r>
              <w:rPr>
                <w:rFonts w:ascii="Palatino Linotype" w:hAnsi="Palatino Linotype" w:cs="Palatino Linotype"/>
                <w:i/>
                <w:iCs/>
                <w:sz w:val="21"/>
                <w:szCs w:val="21"/>
              </w:rPr>
              <w:t xml:space="preserve">9 </w:t>
            </w:r>
            <w:proofErr w:type="spellStart"/>
            <w:r w:rsidRPr="008C3B47">
              <w:rPr>
                <w:rFonts w:ascii="Palatino Linotype" w:hAnsi="Palatino Linotype" w:cs="Palatino Linotype"/>
                <w:i/>
                <w:iCs/>
                <w:sz w:val="21"/>
                <w:szCs w:val="21"/>
              </w:rPr>
              <w:t>interdistrict</w:t>
            </w:r>
            <w:proofErr w:type="spellEnd"/>
            <w:r w:rsidRPr="008C3B47">
              <w:rPr>
                <w:rFonts w:ascii="Palatino Linotype" w:hAnsi="Palatino Linotype" w:cs="Palatino Linotype"/>
                <w:i/>
                <w:iCs/>
                <w:sz w:val="21"/>
                <w:szCs w:val="21"/>
              </w:rPr>
              <w:t xml:space="preserve"> magnet schools.  More information about CREC or CREC’s award-winning Magnet Schools is available at </w:t>
            </w:r>
            <w:hyperlink r:id="rId9" w:history="1">
              <w:r w:rsidRPr="008C3B47">
                <w:rPr>
                  <w:rFonts w:ascii="Palatino Linotype" w:hAnsi="Palatino Linotype" w:cs="Palatino Linotype"/>
                  <w:i/>
                  <w:iCs/>
                  <w:sz w:val="21"/>
                  <w:szCs w:val="21"/>
                  <w:u w:val="single"/>
                </w:rPr>
                <w:t>www.crec.org</w:t>
              </w:r>
            </w:hyperlink>
            <w:r w:rsidRPr="008C3B47">
              <w:rPr>
                <w:rFonts w:ascii="Palatino Linotype" w:hAnsi="Palatino Linotype" w:cs="Palatino Linotype"/>
                <w:i/>
                <w:iCs/>
                <w:sz w:val="21"/>
                <w:szCs w:val="21"/>
              </w:rPr>
              <w:t>.</w:t>
            </w:r>
          </w:p>
          <w:p w:rsidR="00692FDA" w:rsidRPr="00692FDA" w:rsidRDefault="00692FDA" w:rsidP="00692FDA">
            <w:pPr>
              <w:pStyle w:val="NoSpacing"/>
              <w:rPr>
                <w:rFonts w:cs="Palatino Linotype"/>
                <w:i/>
                <w:iCs/>
                <w:sz w:val="21"/>
                <w:szCs w:val="21"/>
              </w:rPr>
            </w:pPr>
          </w:p>
        </w:tc>
      </w:tr>
      <w:tr w:rsidR="00106086" w:rsidRPr="002B19C8" w:rsidTr="00911BE1">
        <w:trPr>
          <w:trHeight w:val="87"/>
        </w:trPr>
        <w:tc>
          <w:tcPr>
            <w:tcW w:w="11016" w:type="dxa"/>
            <w:gridSpan w:val="2"/>
            <w:vAlign w:val="center"/>
          </w:tcPr>
          <w:p w:rsidR="00550CDB" w:rsidRPr="00550CDB" w:rsidRDefault="00550CDB" w:rsidP="00894596">
            <w:pPr>
              <w:pStyle w:val="PlainText"/>
              <w:rPr>
                <w:rFonts w:ascii="Palatino Linotype" w:hAnsi="Palatino Linotype" w:cstheme="minorHAnsi"/>
                <w:i/>
              </w:rPr>
            </w:pPr>
          </w:p>
        </w:tc>
      </w:tr>
    </w:tbl>
    <w:p w:rsidR="000211B4" w:rsidRPr="00447642" w:rsidRDefault="00292668" w:rsidP="00D61310">
      <w:pPr>
        <w:shd w:val="clear" w:color="auto" w:fill="FFFFFF"/>
        <w:spacing w:after="0" w:line="240" w:lineRule="auto"/>
        <w:jc w:val="both"/>
        <w:rPr>
          <w:rFonts w:ascii="Minion Pro" w:hAnsi="Minion Pro" w:cs="Minion Pro"/>
          <w:b/>
          <w:bCs/>
          <w:sz w:val="6"/>
          <w:szCs w:val="6"/>
        </w:rPr>
      </w:pPr>
      <w:bookmarkStart w:id="1" w:name="_PictureBullets"/>
      <w:r>
        <w:rPr>
          <w:rFonts w:eastAsia="Times New Roman"/>
          <w:noProof/>
          <w:vanish/>
        </w:rPr>
        <w:drawing>
          <wp:inline distT="0" distB="0" distL="0" distR="0" wp14:anchorId="47D1D9F9" wp14:editId="58A3EE23">
            <wp:extent cx="140970" cy="140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bookmarkEnd w:id="1"/>
    </w:p>
    <w:sectPr w:rsidR="000211B4" w:rsidRPr="00447642" w:rsidSect="00BE5464">
      <w:headerReference w:type="default" r:id="rId11"/>
      <w:footerReference w:type="default" r:id="rId12"/>
      <w:pgSz w:w="12240" w:h="15840"/>
      <w:pgMar w:top="630" w:right="720" w:bottom="720" w:left="720" w:header="576" w:footer="4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4E" w:rsidRDefault="0029084E" w:rsidP="003C34E3">
      <w:pPr>
        <w:spacing w:after="0" w:line="240" w:lineRule="auto"/>
      </w:pPr>
      <w:r>
        <w:separator/>
      </w:r>
    </w:p>
  </w:endnote>
  <w:endnote w:type="continuationSeparator" w:id="0">
    <w:p w:rsidR="0029084E" w:rsidRDefault="0029084E" w:rsidP="003C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inion Pro">
    <w:panose1 w:val="02040503050201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1A" w:rsidRPr="00E50CF5" w:rsidRDefault="0082451A" w:rsidP="00C67B09">
    <w:pPr>
      <w:pStyle w:val="NoSpacing"/>
      <w:pBdr>
        <w:top w:val="single" w:sz="4" w:space="1" w:color="auto"/>
      </w:pBdr>
      <w:jc w:val="center"/>
      <w:rPr>
        <w:rFonts w:ascii="Century Gothic" w:hAnsi="Century Gothic" w:cs="Century Gothic"/>
        <w:sz w:val="6"/>
        <w:szCs w:val="6"/>
      </w:rPr>
    </w:pPr>
  </w:p>
  <w:p w:rsidR="0082451A" w:rsidRPr="00E50CF5" w:rsidRDefault="0082451A" w:rsidP="00CA2360">
    <w:pPr>
      <w:pStyle w:val="NoSpacing"/>
      <w:pBdr>
        <w:top w:val="single" w:sz="4" w:space="1" w:color="auto"/>
      </w:pBdr>
      <w:rPr>
        <w:rFonts w:ascii="Century Gothic" w:hAnsi="Century Gothic" w:cs="Century Gothic"/>
      </w:rPr>
    </w:pPr>
    <w:r>
      <w:rPr>
        <w:rFonts w:ascii="Century Gothic" w:hAnsi="Century Gothic" w:cs="Century Gothic"/>
        <w:color w:val="00675D"/>
      </w:rPr>
      <w:t>Capitol Region Education Council</w:t>
    </w:r>
    <w:r w:rsidRPr="00E50CF5">
      <w:rPr>
        <w:rFonts w:ascii="Century Gothic" w:hAnsi="Century Gothic" w:cs="Century Gothic"/>
      </w:rPr>
      <w:tab/>
    </w:r>
    <w:r w:rsidRPr="00E50CF5">
      <w:rPr>
        <w:rFonts w:ascii="Century Gothic" w:hAnsi="Century Gothic" w:cs="Century Gothic"/>
      </w:rPr>
      <w:tab/>
    </w:r>
    <w:r w:rsidRPr="00E50CF5">
      <w:rPr>
        <w:rFonts w:ascii="Century Gothic" w:hAnsi="Century Gothic" w:cs="Century Gothic"/>
      </w:rPr>
      <w:tab/>
    </w:r>
    <w:r w:rsidRPr="00E50CF5">
      <w:rPr>
        <w:rFonts w:ascii="Century Gothic" w:hAnsi="Century Gothic" w:cs="Century Gothic"/>
      </w:rPr>
      <w:tab/>
    </w:r>
    <w:r w:rsidRPr="00E50CF5">
      <w:rPr>
        <w:rFonts w:ascii="Century Gothic" w:hAnsi="Century Gothic" w:cs="Century Gothic"/>
      </w:rPr>
      <w:tab/>
    </w:r>
    <w:r w:rsidRPr="00E50CF5">
      <w:rPr>
        <w:rFonts w:ascii="Century Gothic" w:hAnsi="Century Gothic" w:cs="Century Gothic"/>
      </w:rPr>
      <w:tab/>
    </w:r>
    <w:r w:rsidRPr="00E50CF5">
      <w:rPr>
        <w:rFonts w:ascii="Century Gothic" w:hAnsi="Century Gothic" w:cs="Century Gothic"/>
      </w:rPr>
      <w:tab/>
    </w:r>
    <w:r w:rsidRPr="00E50CF5">
      <w:rPr>
        <w:rFonts w:ascii="Century Gothic" w:hAnsi="Century Gothic" w:cs="Century Gothic"/>
        <w:color w:val="00675D"/>
      </w:rPr>
      <w:t>www.crec.org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4E" w:rsidRDefault="0029084E" w:rsidP="003C34E3">
      <w:pPr>
        <w:spacing w:after="0" w:line="240" w:lineRule="auto"/>
      </w:pPr>
      <w:r>
        <w:separator/>
      </w:r>
    </w:p>
  </w:footnote>
  <w:footnote w:type="continuationSeparator" w:id="0">
    <w:p w:rsidR="0029084E" w:rsidRDefault="0029084E" w:rsidP="003C34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1A" w:rsidRPr="008F5E8C" w:rsidRDefault="0082451A" w:rsidP="008F5E8C">
    <w:pPr>
      <w:pStyle w:val="BasicParagraph"/>
      <w:tabs>
        <w:tab w:val="left" w:pos="0"/>
        <w:tab w:val="left" w:pos="2423"/>
      </w:tabs>
      <w:suppressAutoHyphens/>
      <w:spacing w:line="240" w:lineRule="auto"/>
      <w:rPr>
        <w:rFonts w:ascii="Century Gothic" w:hAnsi="Century Gothic" w:cs="Century Gothic"/>
        <w:b/>
        <w:bCs/>
        <w:sz w:val="20"/>
        <w:szCs w:val="20"/>
      </w:rPr>
    </w:pPr>
    <w:r>
      <w:rPr>
        <w:rFonts w:ascii="Century Gothic" w:hAnsi="Century Gothic" w:cs="Century Gothic"/>
        <w:b/>
        <w:bCs/>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765"/>
    <w:multiLevelType w:val="hybridMultilevel"/>
    <w:tmpl w:val="EEAE1B12"/>
    <w:lvl w:ilvl="0" w:tplc="32B23DF8">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1B647A8"/>
    <w:multiLevelType w:val="hybridMultilevel"/>
    <w:tmpl w:val="869EE7D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77B043B"/>
    <w:multiLevelType w:val="hybridMultilevel"/>
    <w:tmpl w:val="CFB88054"/>
    <w:lvl w:ilvl="0" w:tplc="506222C4">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nsid w:val="29E62276"/>
    <w:multiLevelType w:val="hybridMultilevel"/>
    <w:tmpl w:val="983A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AC745C"/>
    <w:multiLevelType w:val="hybridMultilevel"/>
    <w:tmpl w:val="7C5C36E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E22510E"/>
    <w:multiLevelType w:val="hybridMultilevel"/>
    <w:tmpl w:val="76BCAC42"/>
    <w:lvl w:ilvl="0" w:tplc="32B23DF8">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nsid w:val="43636558"/>
    <w:multiLevelType w:val="hybridMultilevel"/>
    <w:tmpl w:val="34F27878"/>
    <w:lvl w:ilvl="0" w:tplc="32B23DF8">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733B6DC6"/>
    <w:multiLevelType w:val="hybridMultilevel"/>
    <w:tmpl w:val="2214D1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7"/>
  </w:num>
  <w:num w:numId="2">
    <w:abstractNumId w:val="1"/>
  </w:num>
  <w:num w:numId="3">
    <w:abstractNumId w:val="6"/>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C5"/>
    <w:rsid w:val="00007843"/>
    <w:rsid w:val="000179B0"/>
    <w:rsid w:val="000211B4"/>
    <w:rsid w:val="00067C3E"/>
    <w:rsid w:val="00087C31"/>
    <w:rsid w:val="000A31D7"/>
    <w:rsid w:val="000B6D1A"/>
    <w:rsid w:val="000C012F"/>
    <w:rsid w:val="000D385F"/>
    <w:rsid w:val="000D5276"/>
    <w:rsid w:val="000E5560"/>
    <w:rsid w:val="000F6ECE"/>
    <w:rsid w:val="00101C18"/>
    <w:rsid w:val="00106086"/>
    <w:rsid w:val="00145D63"/>
    <w:rsid w:val="00175A13"/>
    <w:rsid w:val="001868D1"/>
    <w:rsid w:val="001A432F"/>
    <w:rsid w:val="001A5DC8"/>
    <w:rsid w:val="001C24E8"/>
    <w:rsid w:val="001D548A"/>
    <w:rsid w:val="001E3862"/>
    <w:rsid w:val="001E57D8"/>
    <w:rsid w:val="001F10E0"/>
    <w:rsid w:val="002144E9"/>
    <w:rsid w:val="00220AB4"/>
    <w:rsid w:val="00221C3A"/>
    <w:rsid w:val="00245720"/>
    <w:rsid w:val="00250236"/>
    <w:rsid w:val="00262507"/>
    <w:rsid w:val="0026304B"/>
    <w:rsid w:val="0029084E"/>
    <w:rsid w:val="002916BA"/>
    <w:rsid w:val="00292668"/>
    <w:rsid w:val="00297610"/>
    <w:rsid w:val="002A12F9"/>
    <w:rsid w:val="002A2E15"/>
    <w:rsid w:val="002B19C8"/>
    <w:rsid w:val="002B2AE7"/>
    <w:rsid w:val="002E476B"/>
    <w:rsid w:val="002E5904"/>
    <w:rsid w:val="002E75F7"/>
    <w:rsid w:val="00301F25"/>
    <w:rsid w:val="00327BAD"/>
    <w:rsid w:val="00330E8D"/>
    <w:rsid w:val="0034397C"/>
    <w:rsid w:val="00375398"/>
    <w:rsid w:val="003909EA"/>
    <w:rsid w:val="003A789B"/>
    <w:rsid w:val="003B1414"/>
    <w:rsid w:val="003C34E3"/>
    <w:rsid w:val="003F3B8F"/>
    <w:rsid w:val="00411CAA"/>
    <w:rsid w:val="00415CFE"/>
    <w:rsid w:val="0042481F"/>
    <w:rsid w:val="004251F4"/>
    <w:rsid w:val="00445FA5"/>
    <w:rsid w:val="00447642"/>
    <w:rsid w:val="00454BF1"/>
    <w:rsid w:val="00456C2C"/>
    <w:rsid w:val="004A5072"/>
    <w:rsid w:val="004E4DA0"/>
    <w:rsid w:val="004F1BF0"/>
    <w:rsid w:val="004F3343"/>
    <w:rsid w:val="004F6DB7"/>
    <w:rsid w:val="005163CB"/>
    <w:rsid w:val="0052106A"/>
    <w:rsid w:val="00526B89"/>
    <w:rsid w:val="005401EB"/>
    <w:rsid w:val="00547ED4"/>
    <w:rsid w:val="00550CDB"/>
    <w:rsid w:val="0055115B"/>
    <w:rsid w:val="00557750"/>
    <w:rsid w:val="0056584F"/>
    <w:rsid w:val="0057642D"/>
    <w:rsid w:val="005A7881"/>
    <w:rsid w:val="005B742C"/>
    <w:rsid w:val="005F0A68"/>
    <w:rsid w:val="00602E4D"/>
    <w:rsid w:val="006104FC"/>
    <w:rsid w:val="006323E0"/>
    <w:rsid w:val="006425EE"/>
    <w:rsid w:val="0065369B"/>
    <w:rsid w:val="00655C16"/>
    <w:rsid w:val="006752A3"/>
    <w:rsid w:val="006777E0"/>
    <w:rsid w:val="00692FDA"/>
    <w:rsid w:val="006A5109"/>
    <w:rsid w:val="006D3165"/>
    <w:rsid w:val="006E0C90"/>
    <w:rsid w:val="00701AFE"/>
    <w:rsid w:val="00701E55"/>
    <w:rsid w:val="00721308"/>
    <w:rsid w:val="00744CC5"/>
    <w:rsid w:val="0075473B"/>
    <w:rsid w:val="0076434C"/>
    <w:rsid w:val="007644BD"/>
    <w:rsid w:val="0076714F"/>
    <w:rsid w:val="0076715B"/>
    <w:rsid w:val="007A1B23"/>
    <w:rsid w:val="007A3944"/>
    <w:rsid w:val="007C2185"/>
    <w:rsid w:val="007C783B"/>
    <w:rsid w:val="007D5271"/>
    <w:rsid w:val="007F1CCB"/>
    <w:rsid w:val="0080091A"/>
    <w:rsid w:val="00802398"/>
    <w:rsid w:val="0080736D"/>
    <w:rsid w:val="00807471"/>
    <w:rsid w:val="0082451A"/>
    <w:rsid w:val="00831BA3"/>
    <w:rsid w:val="00832A47"/>
    <w:rsid w:val="008341C7"/>
    <w:rsid w:val="00853CC6"/>
    <w:rsid w:val="00857354"/>
    <w:rsid w:val="00880999"/>
    <w:rsid w:val="0089003D"/>
    <w:rsid w:val="00894596"/>
    <w:rsid w:val="008C3B47"/>
    <w:rsid w:val="008D200F"/>
    <w:rsid w:val="008F5E8C"/>
    <w:rsid w:val="008F60DF"/>
    <w:rsid w:val="008F7B0C"/>
    <w:rsid w:val="00911BE1"/>
    <w:rsid w:val="0091535D"/>
    <w:rsid w:val="00927C00"/>
    <w:rsid w:val="00940DCA"/>
    <w:rsid w:val="00942AD7"/>
    <w:rsid w:val="00976BCF"/>
    <w:rsid w:val="009A2E41"/>
    <w:rsid w:val="009E41FC"/>
    <w:rsid w:val="00A03C05"/>
    <w:rsid w:val="00A11FF2"/>
    <w:rsid w:val="00A20770"/>
    <w:rsid w:val="00A25CD1"/>
    <w:rsid w:val="00A317B8"/>
    <w:rsid w:val="00A5150A"/>
    <w:rsid w:val="00A51D8A"/>
    <w:rsid w:val="00A61DFE"/>
    <w:rsid w:val="00A741FB"/>
    <w:rsid w:val="00A87B5F"/>
    <w:rsid w:val="00A9218C"/>
    <w:rsid w:val="00A93802"/>
    <w:rsid w:val="00AA374D"/>
    <w:rsid w:val="00AA5094"/>
    <w:rsid w:val="00AE304C"/>
    <w:rsid w:val="00AE7AA8"/>
    <w:rsid w:val="00B2610D"/>
    <w:rsid w:val="00B37428"/>
    <w:rsid w:val="00B441E9"/>
    <w:rsid w:val="00B478CC"/>
    <w:rsid w:val="00B54C21"/>
    <w:rsid w:val="00B60D27"/>
    <w:rsid w:val="00B8656C"/>
    <w:rsid w:val="00BA3895"/>
    <w:rsid w:val="00BA6C02"/>
    <w:rsid w:val="00BB02D9"/>
    <w:rsid w:val="00BB612A"/>
    <w:rsid w:val="00BD214A"/>
    <w:rsid w:val="00BD4CE2"/>
    <w:rsid w:val="00BE5464"/>
    <w:rsid w:val="00C030EB"/>
    <w:rsid w:val="00C0644A"/>
    <w:rsid w:val="00C21CDD"/>
    <w:rsid w:val="00C3795E"/>
    <w:rsid w:val="00C41244"/>
    <w:rsid w:val="00C44689"/>
    <w:rsid w:val="00C525DC"/>
    <w:rsid w:val="00C67B09"/>
    <w:rsid w:val="00C93C99"/>
    <w:rsid w:val="00C97B9A"/>
    <w:rsid w:val="00CA2360"/>
    <w:rsid w:val="00CB0C92"/>
    <w:rsid w:val="00CC2E86"/>
    <w:rsid w:val="00CC35C1"/>
    <w:rsid w:val="00CD0602"/>
    <w:rsid w:val="00D11A90"/>
    <w:rsid w:val="00D1441B"/>
    <w:rsid w:val="00D358B5"/>
    <w:rsid w:val="00D61310"/>
    <w:rsid w:val="00D64E66"/>
    <w:rsid w:val="00D66AE8"/>
    <w:rsid w:val="00D92C6D"/>
    <w:rsid w:val="00D979B6"/>
    <w:rsid w:val="00DB22A8"/>
    <w:rsid w:val="00E006A1"/>
    <w:rsid w:val="00E50CF5"/>
    <w:rsid w:val="00E525ED"/>
    <w:rsid w:val="00E834DF"/>
    <w:rsid w:val="00E84D9E"/>
    <w:rsid w:val="00E935B0"/>
    <w:rsid w:val="00EA1BA9"/>
    <w:rsid w:val="00EA4984"/>
    <w:rsid w:val="00EC1EC5"/>
    <w:rsid w:val="00EC3012"/>
    <w:rsid w:val="00EC4478"/>
    <w:rsid w:val="00EC61A7"/>
    <w:rsid w:val="00EF0BFE"/>
    <w:rsid w:val="00EF58ED"/>
    <w:rsid w:val="00F01CAD"/>
    <w:rsid w:val="00F263A3"/>
    <w:rsid w:val="00F35314"/>
    <w:rsid w:val="00F43816"/>
    <w:rsid w:val="00F4646B"/>
    <w:rsid w:val="00F4782F"/>
    <w:rsid w:val="00F543E1"/>
    <w:rsid w:val="00F730AA"/>
    <w:rsid w:val="00F86DF2"/>
    <w:rsid w:val="00FB3D8C"/>
    <w:rsid w:val="00FC20BE"/>
    <w:rsid w:val="00FC56AF"/>
    <w:rsid w:val="00FC7C7A"/>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85F"/>
    <w:pPr>
      <w:spacing w:after="200" w:line="276" w:lineRule="auto"/>
    </w:pPr>
    <w:rPr>
      <w:rFonts w:cs="Calibri"/>
    </w:rPr>
  </w:style>
  <w:style w:type="paragraph" w:styleId="Heading1">
    <w:name w:val="heading 1"/>
    <w:basedOn w:val="Normal"/>
    <w:next w:val="Normal"/>
    <w:link w:val="Heading1Char"/>
    <w:uiPriority w:val="99"/>
    <w:qFormat/>
    <w:rsid w:val="009E41FC"/>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1FC"/>
    <w:rPr>
      <w:rFonts w:ascii="Cambria" w:hAnsi="Cambria" w:cs="Cambria"/>
      <w:b/>
      <w:bCs/>
      <w:color w:val="365F91"/>
      <w:sz w:val="28"/>
      <w:szCs w:val="28"/>
    </w:rPr>
  </w:style>
  <w:style w:type="paragraph" w:customStyle="1" w:styleId="BasicParagraph">
    <w:name w:val="[Basic Paragraph]"/>
    <w:basedOn w:val="Normal"/>
    <w:uiPriority w:val="99"/>
    <w:rsid w:val="00EC1EC5"/>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rsid w:val="00EC1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1EC5"/>
    <w:rPr>
      <w:rFonts w:ascii="Tahoma" w:hAnsi="Tahoma" w:cs="Tahoma"/>
      <w:sz w:val="16"/>
      <w:szCs w:val="16"/>
    </w:rPr>
  </w:style>
  <w:style w:type="paragraph" w:styleId="ListParagraph">
    <w:name w:val="List Paragraph"/>
    <w:basedOn w:val="Normal"/>
    <w:uiPriority w:val="34"/>
    <w:qFormat/>
    <w:rsid w:val="001A5DC8"/>
    <w:pPr>
      <w:ind w:left="720"/>
    </w:pPr>
  </w:style>
  <w:style w:type="paragraph" w:styleId="Header">
    <w:name w:val="header"/>
    <w:basedOn w:val="Normal"/>
    <w:link w:val="HeaderChar"/>
    <w:uiPriority w:val="99"/>
    <w:rsid w:val="003C34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C34E3"/>
  </w:style>
  <w:style w:type="paragraph" w:styleId="Footer">
    <w:name w:val="footer"/>
    <w:basedOn w:val="Normal"/>
    <w:link w:val="FooterChar"/>
    <w:uiPriority w:val="99"/>
    <w:rsid w:val="003C34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C34E3"/>
  </w:style>
  <w:style w:type="paragraph" w:styleId="NoSpacing">
    <w:name w:val="No Spacing"/>
    <w:link w:val="NoSpacingChar"/>
    <w:uiPriority w:val="99"/>
    <w:qFormat/>
    <w:rsid w:val="00C67B09"/>
    <w:rPr>
      <w:rFonts w:cs="Calibri"/>
    </w:rPr>
  </w:style>
  <w:style w:type="table" w:styleId="TableGrid">
    <w:name w:val="Table Grid"/>
    <w:basedOn w:val="TableNormal"/>
    <w:uiPriority w:val="99"/>
    <w:rsid w:val="009E41F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B3D8C"/>
    <w:rPr>
      <w:color w:val="0000FF"/>
      <w:u w:val="single"/>
    </w:rPr>
  </w:style>
  <w:style w:type="character" w:customStyle="1" w:styleId="NoSpacingChar">
    <w:name w:val="No Spacing Char"/>
    <w:link w:val="NoSpacing"/>
    <w:uiPriority w:val="99"/>
    <w:locked/>
    <w:rsid w:val="00FB3D8C"/>
    <w:rPr>
      <w:sz w:val="22"/>
      <w:szCs w:val="22"/>
      <w:lang w:val="en-US" w:eastAsia="en-US"/>
    </w:rPr>
  </w:style>
  <w:style w:type="paragraph" w:styleId="PlainText">
    <w:name w:val="Plain Text"/>
    <w:basedOn w:val="Normal"/>
    <w:link w:val="PlainTextChar"/>
    <w:uiPriority w:val="99"/>
    <w:unhideWhenUsed/>
    <w:rsid w:val="00692FD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692FDA"/>
    <w:rPr>
      <w:rFonts w:eastAsia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85F"/>
    <w:pPr>
      <w:spacing w:after="200" w:line="276" w:lineRule="auto"/>
    </w:pPr>
    <w:rPr>
      <w:rFonts w:cs="Calibri"/>
    </w:rPr>
  </w:style>
  <w:style w:type="paragraph" w:styleId="Heading1">
    <w:name w:val="heading 1"/>
    <w:basedOn w:val="Normal"/>
    <w:next w:val="Normal"/>
    <w:link w:val="Heading1Char"/>
    <w:uiPriority w:val="99"/>
    <w:qFormat/>
    <w:rsid w:val="009E41FC"/>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1FC"/>
    <w:rPr>
      <w:rFonts w:ascii="Cambria" w:hAnsi="Cambria" w:cs="Cambria"/>
      <w:b/>
      <w:bCs/>
      <w:color w:val="365F91"/>
      <w:sz w:val="28"/>
      <w:szCs w:val="28"/>
    </w:rPr>
  </w:style>
  <w:style w:type="paragraph" w:customStyle="1" w:styleId="BasicParagraph">
    <w:name w:val="[Basic Paragraph]"/>
    <w:basedOn w:val="Normal"/>
    <w:uiPriority w:val="99"/>
    <w:rsid w:val="00EC1EC5"/>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rsid w:val="00EC1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1EC5"/>
    <w:rPr>
      <w:rFonts w:ascii="Tahoma" w:hAnsi="Tahoma" w:cs="Tahoma"/>
      <w:sz w:val="16"/>
      <w:szCs w:val="16"/>
    </w:rPr>
  </w:style>
  <w:style w:type="paragraph" w:styleId="ListParagraph">
    <w:name w:val="List Paragraph"/>
    <w:basedOn w:val="Normal"/>
    <w:uiPriority w:val="34"/>
    <w:qFormat/>
    <w:rsid w:val="001A5DC8"/>
    <w:pPr>
      <w:ind w:left="720"/>
    </w:pPr>
  </w:style>
  <w:style w:type="paragraph" w:styleId="Header">
    <w:name w:val="header"/>
    <w:basedOn w:val="Normal"/>
    <w:link w:val="HeaderChar"/>
    <w:uiPriority w:val="99"/>
    <w:rsid w:val="003C34E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C34E3"/>
  </w:style>
  <w:style w:type="paragraph" w:styleId="Footer">
    <w:name w:val="footer"/>
    <w:basedOn w:val="Normal"/>
    <w:link w:val="FooterChar"/>
    <w:uiPriority w:val="99"/>
    <w:rsid w:val="003C34E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C34E3"/>
  </w:style>
  <w:style w:type="paragraph" w:styleId="NoSpacing">
    <w:name w:val="No Spacing"/>
    <w:link w:val="NoSpacingChar"/>
    <w:uiPriority w:val="99"/>
    <w:qFormat/>
    <w:rsid w:val="00C67B09"/>
    <w:rPr>
      <w:rFonts w:cs="Calibri"/>
    </w:rPr>
  </w:style>
  <w:style w:type="table" w:styleId="TableGrid">
    <w:name w:val="Table Grid"/>
    <w:basedOn w:val="TableNormal"/>
    <w:uiPriority w:val="99"/>
    <w:rsid w:val="009E41F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B3D8C"/>
    <w:rPr>
      <w:color w:val="0000FF"/>
      <w:u w:val="single"/>
    </w:rPr>
  </w:style>
  <w:style w:type="character" w:customStyle="1" w:styleId="NoSpacingChar">
    <w:name w:val="No Spacing Char"/>
    <w:link w:val="NoSpacing"/>
    <w:uiPriority w:val="99"/>
    <w:locked/>
    <w:rsid w:val="00FB3D8C"/>
    <w:rPr>
      <w:sz w:val="22"/>
      <w:szCs w:val="22"/>
      <w:lang w:val="en-US" w:eastAsia="en-US"/>
    </w:rPr>
  </w:style>
  <w:style w:type="paragraph" w:styleId="PlainText">
    <w:name w:val="Plain Text"/>
    <w:basedOn w:val="Normal"/>
    <w:link w:val="PlainTextChar"/>
    <w:uiPriority w:val="99"/>
    <w:unhideWhenUsed/>
    <w:rsid w:val="00692FD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692FDA"/>
    <w:rPr>
      <w:rFonts w:eastAsia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28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re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Press Release</vt:lpstr>
    </vt:vector>
  </TitlesOfParts>
  <Company>HP</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Luby, Louise</dc:creator>
  <cp:lastModifiedBy>David Kauffman</cp:lastModifiedBy>
  <cp:revision>4</cp:revision>
  <cp:lastPrinted>2012-10-15T14:17:00Z</cp:lastPrinted>
  <dcterms:created xsi:type="dcterms:W3CDTF">2014-04-28T12:40:00Z</dcterms:created>
  <dcterms:modified xsi:type="dcterms:W3CDTF">2014-04-29T21:47:00Z</dcterms:modified>
</cp:coreProperties>
</file>